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744D0" w14:textId="77777777" w:rsidR="00733090" w:rsidRPr="00733090" w:rsidRDefault="00733090" w:rsidP="00733090">
      <w:pPr>
        <w:spacing w:after="0" w:line="240" w:lineRule="auto"/>
        <w:jc w:val="center"/>
        <w:rPr>
          <w:rFonts w:cstheme="minorHAnsi"/>
          <w:b/>
          <w:sz w:val="24"/>
          <w:szCs w:val="24"/>
        </w:rPr>
      </w:pPr>
      <w:r w:rsidRPr="00733090">
        <w:rPr>
          <w:rFonts w:cstheme="minorHAnsi"/>
          <w:b/>
          <w:sz w:val="24"/>
          <w:szCs w:val="24"/>
        </w:rPr>
        <w:t>Central Maine Power Company (CMP)</w:t>
      </w:r>
    </w:p>
    <w:p w14:paraId="07879537" w14:textId="6710D4BB" w:rsidR="00733090" w:rsidRPr="00733090" w:rsidRDefault="00733090" w:rsidP="00733090">
      <w:pPr>
        <w:spacing w:after="0" w:line="240" w:lineRule="auto"/>
        <w:jc w:val="center"/>
        <w:rPr>
          <w:rFonts w:cstheme="minorHAnsi"/>
          <w:b/>
          <w:sz w:val="24"/>
          <w:szCs w:val="24"/>
        </w:rPr>
      </w:pPr>
      <w:r w:rsidRPr="00733090">
        <w:rPr>
          <w:rFonts w:cstheme="minorHAnsi"/>
          <w:b/>
          <w:sz w:val="24"/>
          <w:szCs w:val="24"/>
        </w:rPr>
        <w:t>202</w:t>
      </w:r>
      <w:r w:rsidR="00D01CD0">
        <w:rPr>
          <w:rFonts w:cstheme="minorHAnsi"/>
          <w:b/>
          <w:sz w:val="24"/>
          <w:szCs w:val="24"/>
        </w:rPr>
        <w:t>3</w:t>
      </w:r>
      <w:r w:rsidRPr="00733090">
        <w:rPr>
          <w:rFonts w:cstheme="minorHAnsi"/>
          <w:b/>
          <w:sz w:val="24"/>
          <w:szCs w:val="24"/>
        </w:rPr>
        <w:t xml:space="preserve"> ISO New England Inc. Transmission, Markets and Services Tariff</w:t>
      </w:r>
    </w:p>
    <w:p w14:paraId="3B45608E" w14:textId="32233A6C" w:rsidR="00733090" w:rsidRPr="00733090" w:rsidRDefault="00733090" w:rsidP="00733090">
      <w:pPr>
        <w:spacing w:after="0" w:line="240" w:lineRule="auto"/>
        <w:jc w:val="center"/>
        <w:rPr>
          <w:rFonts w:cstheme="minorHAnsi"/>
          <w:b/>
          <w:sz w:val="24"/>
          <w:szCs w:val="24"/>
        </w:rPr>
      </w:pPr>
      <w:r w:rsidRPr="00733090">
        <w:rPr>
          <w:rFonts w:cstheme="minorHAnsi"/>
          <w:b/>
          <w:sz w:val="24"/>
          <w:szCs w:val="24"/>
        </w:rPr>
        <w:t xml:space="preserve">Docket No. </w:t>
      </w:r>
      <w:r w:rsidR="00E85FBC" w:rsidRPr="00F73424">
        <w:rPr>
          <w:rFonts w:cstheme="minorHAnsi"/>
          <w:b/>
          <w:sz w:val="24"/>
          <w:szCs w:val="24"/>
        </w:rPr>
        <w:t>ER20-2054</w:t>
      </w:r>
    </w:p>
    <w:p w14:paraId="6F9600D3" w14:textId="77777777" w:rsidR="00733090" w:rsidRPr="00733090" w:rsidRDefault="00733090" w:rsidP="00733090">
      <w:pPr>
        <w:spacing w:after="0" w:line="240" w:lineRule="auto"/>
        <w:jc w:val="center"/>
        <w:rPr>
          <w:rFonts w:cstheme="minorHAnsi"/>
          <w:b/>
          <w:sz w:val="24"/>
          <w:szCs w:val="24"/>
        </w:rPr>
      </w:pPr>
      <w:r w:rsidRPr="00733090">
        <w:rPr>
          <w:rFonts w:cstheme="minorHAnsi"/>
          <w:b/>
          <w:sz w:val="24"/>
          <w:szCs w:val="24"/>
        </w:rPr>
        <w:t>Maine Public Utilities Commission (MPUC)</w:t>
      </w:r>
    </w:p>
    <w:p w14:paraId="68AA854D" w14:textId="77777777" w:rsidR="003D6C6D" w:rsidRPr="00C5703B" w:rsidRDefault="00733090" w:rsidP="00733090">
      <w:pPr>
        <w:spacing w:after="0" w:line="240" w:lineRule="auto"/>
        <w:jc w:val="center"/>
        <w:rPr>
          <w:rFonts w:cstheme="minorHAnsi"/>
          <w:b/>
          <w:sz w:val="24"/>
          <w:szCs w:val="24"/>
        </w:rPr>
      </w:pPr>
      <w:r w:rsidRPr="00733090">
        <w:rPr>
          <w:rFonts w:cstheme="minorHAnsi"/>
          <w:b/>
          <w:sz w:val="24"/>
          <w:szCs w:val="24"/>
        </w:rPr>
        <w:t>Data/Information Request No. 1</w:t>
      </w:r>
    </w:p>
    <w:p w14:paraId="70C8D57A" w14:textId="77777777" w:rsidR="00733090" w:rsidRDefault="00733090" w:rsidP="00C5703B">
      <w:pPr>
        <w:spacing w:after="0" w:line="240" w:lineRule="auto"/>
        <w:jc w:val="right"/>
        <w:rPr>
          <w:rFonts w:cstheme="minorHAnsi"/>
          <w:b/>
          <w:sz w:val="24"/>
          <w:szCs w:val="24"/>
        </w:rPr>
      </w:pPr>
    </w:p>
    <w:p w14:paraId="63B2A8D9" w14:textId="014D73D4" w:rsidR="003D6C6D" w:rsidRPr="00C5703B" w:rsidRDefault="00D01CD0" w:rsidP="00C5703B">
      <w:pPr>
        <w:spacing w:after="0" w:line="240" w:lineRule="auto"/>
        <w:jc w:val="right"/>
        <w:rPr>
          <w:rFonts w:cstheme="minorHAnsi"/>
          <w:b/>
          <w:sz w:val="24"/>
          <w:szCs w:val="24"/>
        </w:rPr>
      </w:pPr>
      <w:r>
        <w:rPr>
          <w:rFonts w:cstheme="minorHAnsi"/>
          <w:b/>
          <w:sz w:val="24"/>
          <w:szCs w:val="24"/>
        </w:rPr>
        <w:t xml:space="preserve">July </w:t>
      </w:r>
      <w:r w:rsidR="002341AF">
        <w:rPr>
          <w:rFonts w:cstheme="minorHAnsi"/>
          <w:b/>
          <w:sz w:val="24"/>
          <w:szCs w:val="24"/>
        </w:rPr>
        <w:t>26, 2</w:t>
      </w:r>
      <w:r w:rsidR="00733090">
        <w:rPr>
          <w:rFonts w:cstheme="minorHAnsi"/>
          <w:b/>
          <w:sz w:val="24"/>
          <w:szCs w:val="24"/>
        </w:rPr>
        <w:t>02</w:t>
      </w:r>
      <w:r>
        <w:rPr>
          <w:rFonts w:cstheme="minorHAnsi"/>
          <w:b/>
          <w:sz w:val="24"/>
          <w:szCs w:val="24"/>
        </w:rPr>
        <w:t>3</w:t>
      </w:r>
    </w:p>
    <w:p w14:paraId="58046CAA" w14:textId="77777777" w:rsidR="003D6C6D" w:rsidRPr="00C5703B" w:rsidRDefault="003D6C6D" w:rsidP="00442162">
      <w:pPr>
        <w:spacing w:after="0" w:line="240" w:lineRule="auto"/>
        <w:rPr>
          <w:rFonts w:cstheme="minorHAnsi"/>
          <w:b/>
          <w:sz w:val="24"/>
          <w:szCs w:val="24"/>
        </w:rPr>
      </w:pPr>
    </w:p>
    <w:p w14:paraId="3CC99BD0" w14:textId="77777777" w:rsidR="00442162" w:rsidRPr="00C5703B" w:rsidRDefault="00442162" w:rsidP="00C5703B">
      <w:pPr>
        <w:spacing w:after="0" w:line="240" w:lineRule="auto"/>
        <w:jc w:val="right"/>
        <w:rPr>
          <w:rFonts w:cstheme="minorHAnsi"/>
          <w:b/>
          <w:sz w:val="24"/>
          <w:szCs w:val="24"/>
        </w:rPr>
      </w:pPr>
    </w:p>
    <w:p w14:paraId="1D6B3D2D" w14:textId="0C0514B4" w:rsidR="003D6C6D" w:rsidRPr="00C5703B" w:rsidRDefault="007C2B34" w:rsidP="00C5703B">
      <w:pPr>
        <w:spacing w:after="0" w:line="240" w:lineRule="auto"/>
        <w:rPr>
          <w:rFonts w:cstheme="minorHAnsi"/>
          <w:b/>
          <w:sz w:val="24"/>
          <w:szCs w:val="24"/>
        </w:rPr>
      </w:pPr>
      <w:r>
        <w:rPr>
          <w:rFonts w:cstheme="minorHAnsi"/>
          <w:b/>
          <w:sz w:val="24"/>
          <w:szCs w:val="24"/>
        </w:rPr>
        <w:t>MPUC-CMP-1-</w:t>
      </w:r>
      <w:r w:rsidR="00CE33F1">
        <w:rPr>
          <w:rFonts w:cstheme="minorHAnsi"/>
          <w:b/>
          <w:sz w:val="24"/>
          <w:szCs w:val="24"/>
        </w:rPr>
        <w:t>1</w:t>
      </w:r>
      <w:r w:rsidR="00944DFB">
        <w:rPr>
          <w:rFonts w:cstheme="minorHAnsi"/>
          <w:b/>
          <w:sz w:val="24"/>
          <w:szCs w:val="24"/>
        </w:rPr>
        <w:t>3</w:t>
      </w:r>
    </w:p>
    <w:p w14:paraId="3616AD2F" w14:textId="77777777" w:rsidR="003D6C6D" w:rsidRPr="00C5703B" w:rsidRDefault="003D6C6D" w:rsidP="00C5703B">
      <w:pPr>
        <w:spacing w:after="0" w:line="240" w:lineRule="auto"/>
        <w:rPr>
          <w:rFonts w:cstheme="minorHAnsi"/>
          <w:b/>
          <w:sz w:val="24"/>
          <w:szCs w:val="24"/>
        </w:rPr>
      </w:pPr>
    </w:p>
    <w:p w14:paraId="1EFEA2A4" w14:textId="0D77C22C" w:rsidR="00860309" w:rsidRDefault="003D6C6D" w:rsidP="00442162">
      <w:pPr>
        <w:spacing w:after="0" w:line="240" w:lineRule="auto"/>
        <w:ind w:left="720" w:hanging="720"/>
        <w:rPr>
          <w:rFonts w:cstheme="minorHAnsi"/>
          <w:sz w:val="24"/>
          <w:szCs w:val="24"/>
        </w:rPr>
      </w:pPr>
      <w:r w:rsidRPr="00C5703B">
        <w:rPr>
          <w:rFonts w:cstheme="minorHAnsi"/>
          <w:b/>
          <w:sz w:val="24"/>
          <w:szCs w:val="24"/>
        </w:rPr>
        <w:t>Q:</w:t>
      </w:r>
      <w:r w:rsidR="0043457F">
        <w:rPr>
          <w:rFonts w:cstheme="minorHAnsi"/>
          <w:b/>
          <w:sz w:val="24"/>
          <w:szCs w:val="24"/>
        </w:rPr>
        <w:tab/>
      </w:r>
      <w:r w:rsidR="00944DFB" w:rsidRPr="00944DFB">
        <w:rPr>
          <w:rFonts w:cstheme="minorHAnsi"/>
          <w:sz w:val="24"/>
          <w:szCs w:val="24"/>
        </w:rPr>
        <w:t>Please identify any regulatory assets reported in the 2022 Form 1 that now or in the future are expected to affect the charges under the Formula Rate as a result of amortization through expenses, if and when approved by the appropriate regulatory body. For regulatory assets for which Central Maine Power has sought FERC approval for recovery under Central Maine Power’s Formula Rate, please include the docket number of the proceeding in which FERC approval was granted. In addition, please identify the FERC accounts where Central Maine Power records the amortization of each regulatory asset and the associated expense amount for 2022.</w:t>
      </w:r>
    </w:p>
    <w:p w14:paraId="29B23AC2" w14:textId="77777777" w:rsidR="00860309" w:rsidRDefault="00860309" w:rsidP="00442162">
      <w:pPr>
        <w:spacing w:after="0" w:line="240" w:lineRule="auto"/>
        <w:ind w:left="720" w:hanging="720"/>
        <w:rPr>
          <w:rFonts w:cstheme="minorHAnsi"/>
          <w:b/>
          <w:sz w:val="24"/>
          <w:szCs w:val="24"/>
        </w:rPr>
      </w:pPr>
    </w:p>
    <w:p w14:paraId="22014B66" w14:textId="77777777" w:rsidR="002341AF" w:rsidRPr="002341AF" w:rsidRDefault="003D6C6D" w:rsidP="002341AF">
      <w:pPr>
        <w:spacing w:after="0" w:line="240" w:lineRule="auto"/>
        <w:ind w:left="720" w:hanging="720"/>
        <w:rPr>
          <w:rFonts w:cstheme="minorHAnsi"/>
          <w:bCs/>
          <w:sz w:val="24"/>
          <w:szCs w:val="24"/>
        </w:rPr>
      </w:pPr>
      <w:r w:rsidRPr="00C5703B">
        <w:rPr>
          <w:rFonts w:cstheme="minorHAnsi"/>
          <w:b/>
          <w:sz w:val="24"/>
          <w:szCs w:val="24"/>
        </w:rPr>
        <w:t>A:</w:t>
      </w:r>
      <w:r w:rsidRPr="00C5703B">
        <w:rPr>
          <w:rFonts w:cstheme="minorHAnsi"/>
          <w:b/>
          <w:sz w:val="24"/>
          <w:szCs w:val="24"/>
        </w:rPr>
        <w:tab/>
      </w:r>
      <w:r w:rsidR="002341AF" w:rsidRPr="002341AF">
        <w:rPr>
          <w:rFonts w:cstheme="minorHAnsi"/>
          <w:bCs/>
          <w:sz w:val="24"/>
          <w:szCs w:val="24"/>
        </w:rPr>
        <w:t>Please reference 2022 FERC Form 1, pages 232-232.2, which itemizes CMP’s regulatory assets in FERC account 182.3 and 2021 FERC Form 1, pages 278-278.1, which itemizes CMP’s regulatory liabilities (debit balances) in FERC account 254. Specifically, amortizations of the following items are included in the formula rate:</w:t>
      </w:r>
    </w:p>
    <w:p w14:paraId="26B63F47" w14:textId="77777777" w:rsidR="002341AF" w:rsidRPr="002341AF" w:rsidRDefault="002341AF" w:rsidP="002341AF">
      <w:pPr>
        <w:spacing w:after="0" w:line="240" w:lineRule="auto"/>
        <w:ind w:left="720" w:hanging="720"/>
        <w:rPr>
          <w:rFonts w:cstheme="minorHAnsi"/>
          <w:bCs/>
          <w:sz w:val="24"/>
          <w:szCs w:val="24"/>
        </w:rPr>
      </w:pPr>
    </w:p>
    <w:p w14:paraId="38A65B9D" w14:textId="4846C681" w:rsidR="002341AF" w:rsidRPr="002341AF" w:rsidRDefault="002341AF" w:rsidP="002341AF">
      <w:pPr>
        <w:spacing w:after="0" w:line="240" w:lineRule="auto"/>
        <w:ind w:left="1440" w:hanging="720"/>
        <w:rPr>
          <w:rFonts w:cstheme="minorHAnsi"/>
          <w:bCs/>
          <w:sz w:val="24"/>
          <w:szCs w:val="24"/>
        </w:rPr>
      </w:pPr>
      <w:r w:rsidRPr="002341AF">
        <w:rPr>
          <w:rFonts w:cstheme="minorHAnsi"/>
          <w:bCs/>
          <w:sz w:val="24"/>
          <w:szCs w:val="24"/>
        </w:rPr>
        <w:t>1.</w:t>
      </w:r>
      <w:r w:rsidRPr="002341AF">
        <w:rPr>
          <w:rFonts w:cstheme="minorHAnsi"/>
          <w:bCs/>
          <w:sz w:val="24"/>
          <w:szCs w:val="24"/>
        </w:rPr>
        <w:tab/>
        <w:t xml:space="preserve">AMI O&amp;M Costs; approved in Docket </w:t>
      </w:r>
      <w:r w:rsidR="001E0F49">
        <w:rPr>
          <w:rFonts w:cstheme="minorHAnsi"/>
          <w:bCs/>
          <w:sz w:val="24"/>
          <w:szCs w:val="24"/>
        </w:rPr>
        <w:t xml:space="preserve">No. </w:t>
      </w:r>
      <w:r w:rsidRPr="002341AF">
        <w:rPr>
          <w:rFonts w:cstheme="minorHAnsi"/>
          <w:bCs/>
          <w:sz w:val="24"/>
          <w:szCs w:val="24"/>
        </w:rPr>
        <w:t>2013-168; amortization expense is recorded in FERC 905 and is allocated to transmission based on the customer allocation factor. Total recorded was $100,991.</w:t>
      </w:r>
    </w:p>
    <w:p w14:paraId="61156130" w14:textId="1FDCFC36" w:rsidR="002341AF" w:rsidRPr="002341AF" w:rsidRDefault="002341AF" w:rsidP="002341AF">
      <w:pPr>
        <w:spacing w:after="0" w:line="240" w:lineRule="auto"/>
        <w:ind w:left="1440" w:hanging="720"/>
        <w:rPr>
          <w:rFonts w:cstheme="minorHAnsi"/>
          <w:bCs/>
          <w:sz w:val="24"/>
          <w:szCs w:val="24"/>
        </w:rPr>
      </w:pPr>
      <w:r w:rsidRPr="002341AF">
        <w:rPr>
          <w:rFonts w:cstheme="minorHAnsi"/>
          <w:bCs/>
          <w:sz w:val="24"/>
          <w:szCs w:val="24"/>
        </w:rPr>
        <w:t>2.</w:t>
      </w:r>
      <w:r w:rsidRPr="002341AF">
        <w:rPr>
          <w:rFonts w:cstheme="minorHAnsi"/>
          <w:bCs/>
          <w:sz w:val="24"/>
          <w:szCs w:val="24"/>
        </w:rPr>
        <w:tab/>
        <w:t xml:space="preserve">AMI Amortization of Hardware/Software; approved in Docket </w:t>
      </w:r>
      <w:r w:rsidR="001E0F49">
        <w:rPr>
          <w:rFonts w:cstheme="minorHAnsi"/>
          <w:bCs/>
          <w:sz w:val="24"/>
          <w:szCs w:val="24"/>
        </w:rPr>
        <w:t xml:space="preserve">No. </w:t>
      </w:r>
      <w:r w:rsidRPr="002341AF">
        <w:rPr>
          <w:rFonts w:cstheme="minorHAnsi"/>
          <w:bCs/>
          <w:sz w:val="24"/>
          <w:szCs w:val="24"/>
        </w:rPr>
        <w:t>2013-168; amortization expense is recorded in FERC 403 and 404 and is allocated to transmission based on the wage allocation factor. Total recorded was $52,692.</w:t>
      </w:r>
    </w:p>
    <w:p w14:paraId="0C3E4F66" w14:textId="7977EF13" w:rsidR="002341AF" w:rsidRPr="002341AF" w:rsidRDefault="002341AF" w:rsidP="002341AF">
      <w:pPr>
        <w:spacing w:after="0" w:line="240" w:lineRule="auto"/>
        <w:ind w:left="1440" w:hanging="720"/>
        <w:rPr>
          <w:rFonts w:cstheme="minorHAnsi"/>
          <w:bCs/>
          <w:sz w:val="24"/>
          <w:szCs w:val="24"/>
        </w:rPr>
      </w:pPr>
      <w:r w:rsidRPr="002341AF">
        <w:rPr>
          <w:rFonts w:cstheme="minorHAnsi"/>
          <w:bCs/>
          <w:sz w:val="24"/>
          <w:szCs w:val="24"/>
        </w:rPr>
        <w:t>3.</w:t>
      </w:r>
      <w:r w:rsidRPr="002341AF">
        <w:rPr>
          <w:rFonts w:cstheme="minorHAnsi"/>
          <w:bCs/>
          <w:sz w:val="24"/>
          <w:szCs w:val="24"/>
        </w:rPr>
        <w:tab/>
        <w:t>Various amortizations to offset items included in rates; Docket No</w:t>
      </w:r>
      <w:r w:rsidR="001E0F49">
        <w:rPr>
          <w:rFonts w:cstheme="minorHAnsi"/>
          <w:bCs/>
          <w:sz w:val="24"/>
          <w:szCs w:val="24"/>
        </w:rPr>
        <w:t>s</w:t>
      </w:r>
      <w:r w:rsidRPr="002341AF">
        <w:rPr>
          <w:rFonts w:cstheme="minorHAnsi"/>
          <w:bCs/>
          <w:sz w:val="24"/>
          <w:szCs w:val="24"/>
        </w:rPr>
        <w:t>. RT04-2, ER09-938; amortized to FERC 456</w:t>
      </w:r>
      <w:r w:rsidR="00CE726F">
        <w:rPr>
          <w:rFonts w:cstheme="minorHAnsi"/>
          <w:bCs/>
          <w:sz w:val="24"/>
          <w:szCs w:val="24"/>
        </w:rPr>
        <w:t>.</w:t>
      </w:r>
      <w:r w:rsidRPr="002341AF">
        <w:rPr>
          <w:rFonts w:cstheme="minorHAnsi"/>
          <w:bCs/>
          <w:sz w:val="24"/>
          <w:szCs w:val="24"/>
        </w:rPr>
        <w:t>1 and 410.1 for ADIT’s; includes the following:</w:t>
      </w:r>
    </w:p>
    <w:p w14:paraId="4D78B12E" w14:textId="77777777" w:rsidR="002341AF" w:rsidRPr="002341AF" w:rsidRDefault="002341AF" w:rsidP="002341AF">
      <w:pPr>
        <w:spacing w:after="0" w:line="240" w:lineRule="auto"/>
        <w:ind w:left="2160" w:hanging="720"/>
        <w:rPr>
          <w:rFonts w:cstheme="minorHAnsi"/>
          <w:bCs/>
          <w:sz w:val="24"/>
          <w:szCs w:val="24"/>
        </w:rPr>
      </w:pPr>
      <w:r w:rsidRPr="002341AF">
        <w:rPr>
          <w:rFonts w:cstheme="minorHAnsi"/>
          <w:bCs/>
          <w:sz w:val="24"/>
          <w:szCs w:val="24"/>
        </w:rPr>
        <w:t>a.</w:t>
      </w:r>
      <w:r w:rsidRPr="002341AF">
        <w:rPr>
          <w:rFonts w:cstheme="minorHAnsi"/>
          <w:bCs/>
          <w:sz w:val="24"/>
          <w:szCs w:val="24"/>
        </w:rPr>
        <w:tab/>
        <w:t>D-Level Credits – ($1,035,042)</w:t>
      </w:r>
    </w:p>
    <w:p w14:paraId="2A32033C" w14:textId="77777777" w:rsidR="002341AF" w:rsidRPr="002341AF" w:rsidRDefault="002341AF" w:rsidP="002341AF">
      <w:pPr>
        <w:spacing w:after="0" w:line="240" w:lineRule="auto"/>
        <w:ind w:left="2160" w:hanging="720"/>
        <w:rPr>
          <w:rFonts w:cstheme="minorHAnsi"/>
          <w:bCs/>
          <w:sz w:val="24"/>
          <w:szCs w:val="24"/>
        </w:rPr>
      </w:pPr>
      <w:r w:rsidRPr="002341AF">
        <w:rPr>
          <w:rFonts w:cstheme="minorHAnsi"/>
          <w:bCs/>
          <w:sz w:val="24"/>
          <w:szCs w:val="24"/>
        </w:rPr>
        <w:t>b.</w:t>
      </w:r>
      <w:r w:rsidRPr="002341AF">
        <w:rPr>
          <w:rFonts w:cstheme="minorHAnsi"/>
          <w:bCs/>
          <w:sz w:val="24"/>
          <w:szCs w:val="24"/>
        </w:rPr>
        <w:tab/>
        <w:t>Transmission ATU – ($7,711,291)</w:t>
      </w:r>
    </w:p>
    <w:p w14:paraId="5BB2E040" w14:textId="0E6ECF08" w:rsidR="002341AF" w:rsidRPr="002341AF" w:rsidRDefault="002341AF" w:rsidP="002341AF">
      <w:pPr>
        <w:spacing w:after="0" w:line="240" w:lineRule="auto"/>
        <w:ind w:left="2160" w:hanging="720"/>
        <w:rPr>
          <w:rFonts w:cstheme="minorHAnsi"/>
          <w:bCs/>
          <w:sz w:val="24"/>
          <w:szCs w:val="24"/>
        </w:rPr>
      </w:pPr>
      <w:r w:rsidRPr="002341AF">
        <w:rPr>
          <w:rFonts w:cstheme="minorHAnsi"/>
          <w:bCs/>
          <w:sz w:val="24"/>
          <w:szCs w:val="24"/>
        </w:rPr>
        <w:t>c.</w:t>
      </w:r>
      <w:r w:rsidRPr="002341AF">
        <w:rPr>
          <w:rFonts w:cstheme="minorHAnsi"/>
          <w:bCs/>
          <w:sz w:val="24"/>
          <w:szCs w:val="24"/>
        </w:rPr>
        <w:tab/>
        <w:t xml:space="preserve">Excess </w:t>
      </w:r>
      <w:r w:rsidR="00CE726F">
        <w:rPr>
          <w:rFonts w:cstheme="minorHAnsi"/>
          <w:bCs/>
          <w:sz w:val="24"/>
          <w:szCs w:val="24"/>
        </w:rPr>
        <w:t>A</w:t>
      </w:r>
      <w:r w:rsidRPr="002341AF">
        <w:rPr>
          <w:rFonts w:cstheme="minorHAnsi"/>
          <w:bCs/>
          <w:sz w:val="24"/>
          <w:szCs w:val="24"/>
        </w:rPr>
        <w:t>DIT Tax Rate Change – ($17,422,521)</w:t>
      </w:r>
    </w:p>
    <w:p w14:paraId="3584DB66" w14:textId="7D6715DD" w:rsidR="003D6C6D" w:rsidRPr="002341AF" w:rsidRDefault="002341AF" w:rsidP="002341AF">
      <w:pPr>
        <w:spacing w:after="0" w:line="240" w:lineRule="auto"/>
        <w:ind w:left="2160" w:hanging="720"/>
        <w:rPr>
          <w:bCs/>
          <w:sz w:val="24"/>
          <w:szCs w:val="24"/>
        </w:rPr>
      </w:pPr>
      <w:r w:rsidRPr="002341AF">
        <w:rPr>
          <w:rFonts w:cstheme="minorHAnsi"/>
          <w:bCs/>
          <w:sz w:val="24"/>
          <w:szCs w:val="24"/>
        </w:rPr>
        <w:t xml:space="preserve">d.         </w:t>
      </w:r>
      <w:r w:rsidR="001E0F49">
        <w:rPr>
          <w:rFonts w:cstheme="minorHAnsi"/>
          <w:bCs/>
          <w:sz w:val="24"/>
          <w:szCs w:val="24"/>
        </w:rPr>
        <w:t xml:space="preserve"> </w:t>
      </w:r>
      <w:r w:rsidRPr="002341AF">
        <w:rPr>
          <w:rFonts w:cstheme="minorHAnsi"/>
          <w:bCs/>
          <w:sz w:val="24"/>
          <w:szCs w:val="24"/>
        </w:rPr>
        <w:t xml:space="preserve">One Month Lag </w:t>
      </w:r>
      <w:r w:rsidR="001E0F49" w:rsidRPr="002341AF">
        <w:rPr>
          <w:rFonts w:cstheme="minorHAnsi"/>
          <w:bCs/>
          <w:sz w:val="24"/>
          <w:szCs w:val="24"/>
        </w:rPr>
        <w:t>–</w:t>
      </w:r>
      <w:r w:rsidRPr="002341AF">
        <w:rPr>
          <w:rFonts w:cstheme="minorHAnsi"/>
          <w:bCs/>
          <w:sz w:val="24"/>
          <w:szCs w:val="24"/>
        </w:rPr>
        <w:t xml:space="preserve"> $24,380</w:t>
      </w:r>
    </w:p>
    <w:p w14:paraId="44E1B75D" w14:textId="77777777" w:rsidR="003D6C6D" w:rsidRPr="00C5703B" w:rsidRDefault="003D6C6D" w:rsidP="002341AF">
      <w:pPr>
        <w:spacing w:after="0" w:line="240" w:lineRule="auto"/>
        <w:ind w:left="1440"/>
        <w:rPr>
          <w:rFonts w:cstheme="minorHAnsi"/>
          <w:b/>
          <w:sz w:val="24"/>
          <w:szCs w:val="24"/>
        </w:rPr>
      </w:pPr>
    </w:p>
    <w:p w14:paraId="304E7CB2" w14:textId="77777777" w:rsidR="003D6C6D" w:rsidRPr="00C5703B" w:rsidRDefault="003D6C6D" w:rsidP="00C5703B">
      <w:pPr>
        <w:spacing w:after="0" w:line="240" w:lineRule="auto"/>
        <w:rPr>
          <w:rFonts w:cstheme="minorHAnsi"/>
          <w:b/>
          <w:sz w:val="24"/>
          <w:szCs w:val="24"/>
        </w:rPr>
      </w:pPr>
    </w:p>
    <w:p w14:paraId="4E127BE0" w14:textId="5788F81B" w:rsidR="003D6C6D" w:rsidRPr="002341AF" w:rsidRDefault="003D6C6D" w:rsidP="00C5703B">
      <w:pPr>
        <w:spacing w:after="0" w:line="240" w:lineRule="auto"/>
        <w:rPr>
          <w:rFonts w:cstheme="minorHAnsi"/>
          <w:bCs/>
          <w:sz w:val="24"/>
          <w:szCs w:val="24"/>
        </w:rPr>
      </w:pPr>
      <w:r w:rsidRPr="00C5703B">
        <w:rPr>
          <w:rFonts w:cstheme="minorHAnsi"/>
          <w:b/>
          <w:sz w:val="24"/>
          <w:szCs w:val="24"/>
        </w:rPr>
        <w:t xml:space="preserve">Response Prepared and Submitted By: </w:t>
      </w:r>
      <w:r w:rsidR="002341AF" w:rsidRPr="002341AF">
        <w:rPr>
          <w:rFonts w:cstheme="minorHAnsi"/>
          <w:bCs/>
          <w:sz w:val="24"/>
          <w:szCs w:val="24"/>
        </w:rPr>
        <w:t>James Clemente</w:t>
      </w:r>
    </w:p>
    <w:p w14:paraId="36271798" w14:textId="77777777" w:rsidR="003D6C6D" w:rsidRPr="00C5703B" w:rsidRDefault="00B37EA3" w:rsidP="00C5703B">
      <w:pPr>
        <w:spacing w:after="0" w:line="240" w:lineRule="auto"/>
        <w:rPr>
          <w:rFonts w:cstheme="minorHAnsi"/>
          <w:b/>
          <w:sz w:val="24"/>
          <w:szCs w:val="24"/>
        </w:rPr>
      </w:pPr>
      <w:r>
        <w:rPr>
          <w:rFonts w:cstheme="minorHAnsi"/>
          <w:b/>
          <w:sz w:val="24"/>
          <w:szCs w:val="24"/>
        </w:rPr>
        <w:tab/>
      </w:r>
    </w:p>
    <w:p w14:paraId="14C0E62F" w14:textId="77777777" w:rsidR="003D6C6D" w:rsidRPr="00C5703B" w:rsidRDefault="003D6C6D" w:rsidP="00C5703B">
      <w:pPr>
        <w:spacing w:after="0" w:line="240" w:lineRule="auto"/>
        <w:rPr>
          <w:rFonts w:cstheme="minorHAnsi"/>
          <w:b/>
          <w:sz w:val="24"/>
          <w:szCs w:val="24"/>
        </w:rPr>
      </w:pPr>
    </w:p>
    <w:p w14:paraId="474B42E2" w14:textId="77777777" w:rsidR="003D6C6D" w:rsidRPr="001E1A47" w:rsidRDefault="003D6C6D" w:rsidP="00C5703B">
      <w:pPr>
        <w:spacing w:after="0" w:line="240" w:lineRule="auto"/>
        <w:rPr>
          <w:rFonts w:cstheme="minorHAnsi"/>
          <w:b/>
          <w:sz w:val="24"/>
          <w:szCs w:val="24"/>
        </w:rPr>
      </w:pPr>
    </w:p>
    <w:p w14:paraId="2D51BF94" w14:textId="77777777" w:rsidR="001E1A47" w:rsidRPr="00274F25" w:rsidRDefault="001E1A47" w:rsidP="001E1A47">
      <w:pPr>
        <w:spacing w:after="0" w:line="240" w:lineRule="auto"/>
        <w:rPr>
          <w:rFonts w:cstheme="minorHAnsi"/>
          <w:b/>
          <w:sz w:val="24"/>
          <w:szCs w:val="24"/>
        </w:rPr>
      </w:pPr>
    </w:p>
    <w:sectPr w:rsidR="001E1A47" w:rsidRPr="00274F2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075E8" w14:textId="77777777" w:rsidR="00106E58" w:rsidRDefault="00106E58" w:rsidP="003D6C6D">
      <w:pPr>
        <w:spacing w:after="0" w:line="240" w:lineRule="auto"/>
      </w:pPr>
      <w:r>
        <w:separator/>
      </w:r>
    </w:p>
  </w:endnote>
  <w:endnote w:type="continuationSeparator" w:id="0">
    <w:p w14:paraId="069A8423" w14:textId="77777777" w:rsidR="00106E58" w:rsidRDefault="00106E58" w:rsidP="003D6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0F7A4" w14:textId="262CC22F" w:rsidR="00733090" w:rsidRDefault="00733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AAAF4" w14:textId="77777777" w:rsidR="00106E58" w:rsidRDefault="00106E58" w:rsidP="003D6C6D">
      <w:pPr>
        <w:spacing w:after="0" w:line="240" w:lineRule="auto"/>
      </w:pPr>
      <w:r>
        <w:separator/>
      </w:r>
    </w:p>
  </w:footnote>
  <w:footnote w:type="continuationSeparator" w:id="0">
    <w:p w14:paraId="07D10B82" w14:textId="77777777" w:rsidR="00106E58" w:rsidRDefault="00106E58" w:rsidP="003D6C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36AAE"/>
    <w:multiLevelType w:val="hybridMultilevel"/>
    <w:tmpl w:val="C27A7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720E22"/>
    <w:multiLevelType w:val="hybridMultilevel"/>
    <w:tmpl w:val="DAB6FD30"/>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num w:numId="1" w16cid:durableId="317685390">
    <w:abstractNumId w:val="0"/>
  </w:num>
  <w:num w:numId="2" w16cid:durableId="1563783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1A47"/>
    <w:rsid w:val="000077FD"/>
    <w:rsid w:val="0001626D"/>
    <w:rsid w:val="00052745"/>
    <w:rsid w:val="0009767B"/>
    <w:rsid w:val="000B0F2D"/>
    <w:rsid w:val="000C71FB"/>
    <w:rsid w:val="000D31B1"/>
    <w:rsid w:val="00106E58"/>
    <w:rsid w:val="00125EAF"/>
    <w:rsid w:val="00177079"/>
    <w:rsid w:val="001E0F49"/>
    <w:rsid w:val="001E1A47"/>
    <w:rsid w:val="00220B38"/>
    <w:rsid w:val="0022747D"/>
    <w:rsid w:val="002341AF"/>
    <w:rsid w:val="002565EC"/>
    <w:rsid w:val="00274F25"/>
    <w:rsid w:val="002A3ED6"/>
    <w:rsid w:val="002C323A"/>
    <w:rsid w:val="002E13AA"/>
    <w:rsid w:val="0038662E"/>
    <w:rsid w:val="003A6D26"/>
    <w:rsid w:val="003B7B7C"/>
    <w:rsid w:val="003D6C6D"/>
    <w:rsid w:val="003F59E5"/>
    <w:rsid w:val="0043457F"/>
    <w:rsid w:val="00442162"/>
    <w:rsid w:val="0045097A"/>
    <w:rsid w:val="0045239E"/>
    <w:rsid w:val="00503FD9"/>
    <w:rsid w:val="005C37FB"/>
    <w:rsid w:val="00612B90"/>
    <w:rsid w:val="00673429"/>
    <w:rsid w:val="006C7DC3"/>
    <w:rsid w:val="006E2F6F"/>
    <w:rsid w:val="006E6BA4"/>
    <w:rsid w:val="00733090"/>
    <w:rsid w:val="00750485"/>
    <w:rsid w:val="007537D7"/>
    <w:rsid w:val="00784F91"/>
    <w:rsid w:val="007C2B34"/>
    <w:rsid w:val="00804A20"/>
    <w:rsid w:val="00860309"/>
    <w:rsid w:val="008678B6"/>
    <w:rsid w:val="008B5038"/>
    <w:rsid w:val="008B5557"/>
    <w:rsid w:val="008F1103"/>
    <w:rsid w:val="009045FF"/>
    <w:rsid w:val="00944DFB"/>
    <w:rsid w:val="009E4DEC"/>
    <w:rsid w:val="00A0196B"/>
    <w:rsid w:val="00A0423C"/>
    <w:rsid w:val="00A22405"/>
    <w:rsid w:val="00A25481"/>
    <w:rsid w:val="00A42CD5"/>
    <w:rsid w:val="00A60024"/>
    <w:rsid w:val="00A91679"/>
    <w:rsid w:val="00A948D5"/>
    <w:rsid w:val="00B2139C"/>
    <w:rsid w:val="00B37EA3"/>
    <w:rsid w:val="00B74B70"/>
    <w:rsid w:val="00B8228C"/>
    <w:rsid w:val="00B9367E"/>
    <w:rsid w:val="00BB2F0D"/>
    <w:rsid w:val="00BB763C"/>
    <w:rsid w:val="00C00853"/>
    <w:rsid w:val="00C011BF"/>
    <w:rsid w:val="00C5703B"/>
    <w:rsid w:val="00C6312B"/>
    <w:rsid w:val="00C81634"/>
    <w:rsid w:val="00C81D3E"/>
    <w:rsid w:val="00C870CC"/>
    <w:rsid w:val="00CA5D82"/>
    <w:rsid w:val="00CE33F1"/>
    <w:rsid w:val="00CE726F"/>
    <w:rsid w:val="00D01CD0"/>
    <w:rsid w:val="00D36856"/>
    <w:rsid w:val="00D60982"/>
    <w:rsid w:val="00D71228"/>
    <w:rsid w:val="00DC7474"/>
    <w:rsid w:val="00DF0813"/>
    <w:rsid w:val="00E033FE"/>
    <w:rsid w:val="00E05171"/>
    <w:rsid w:val="00E1103C"/>
    <w:rsid w:val="00E124AA"/>
    <w:rsid w:val="00E16897"/>
    <w:rsid w:val="00E17525"/>
    <w:rsid w:val="00E74C29"/>
    <w:rsid w:val="00E77333"/>
    <w:rsid w:val="00E85FBC"/>
    <w:rsid w:val="00F13A92"/>
    <w:rsid w:val="00F432E5"/>
    <w:rsid w:val="00F4584D"/>
    <w:rsid w:val="00F73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D393A"/>
  <w15:docId w15:val="{92C3AE4B-2369-457B-AB7D-AC52F2E2A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3D6C6D"/>
    <w:pPr>
      <w:spacing w:after="0" w:line="240" w:lineRule="auto"/>
    </w:pPr>
    <w:rPr>
      <w:rFonts w:ascii="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3D6C6D"/>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3D6C6D"/>
    <w:rPr>
      <w:vertAlign w:val="superscript"/>
    </w:rPr>
  </w:style>
  <w:style w:type="paragraph" w:styleId="ListParagraph">
    <w:name w:val="List Paragraph"/>
    <w:basedOn w:val="Normal"/>
    <w:uiPriority w:val="34"/>
    <w:qFormat/>
    <w:rsid w:val="003D6C6D"/>
    <w:pPr>
      <w:ind w:left="720"/>
      <w:contextualSpacing/>
    </w:pPr>
  </w:style>
  <w:style w:type="table" w:styleId="TableGrid">
    <w:name w:val="Table Grid"/>
    <w:basedOn w:val="TableNormal"/>
    <w:uiPriority w:val="59"/>
    <w:rsid w:val="003D6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30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090"/>
  </w:style>
  <w:style w:type="paragraph" w:styleId="Footer">
    <w:name w:val="footer"/>
    <w:basedOn w:val="Normal"/>
    <w:link w:val="FooterChar"/>
    <w:uiPriority w:val="99"/>
    <w:unhideWhenUsed/>
    <w:rsid w:val="00733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090"/>
  </w:style>
  <w:style w:type="paragraph" w:styleId="Revision">
    <w:name w:val="Revision"/>
    <w:hidden/>
    <w:uiPriority w:val="99"/>
    <w:semiHidden/>
    <w:rsid w:val="001E0F49"/>
    <w:pPr>
      <w:spacing w:after="0" w:line="240" w:lineRule="auto"/>
    </w:pPr>
  </w:style>
  <w:style w:type="character" w:styleId="CommentReference">
    <w:name w:val="annotation reference"/>
    <w:basedOn w:val="DefaultParagraphFont"/>
    <w:uiPriority w:val="99"/>
    <w:semiHidden/>
    <w:unhideWhenUsed/>
    <w:rsid w:val="001E0F49"/>
    <w:rPr>
      <w:sz w:val="16"/>
      <w:szCs w:val="16"/>
    </w:rPr>
  </w:style>
  <w:style w:type="paragraph" w:styleId="CommentText">
    <w:name w:val="annotation text"/>
    <w:basedOn w:val="Normal"/>
    <w:link w:val="CommentTextChar"/>
    <w:uiPriority w:val="99"/>
    <w:semiHidden/>
    <w:unhideWhenUsed/>
    <w:rsid w:val="001E0F49"/>
    <w:pPr>
      <w:spacing w:line="240" w:lineRule="auto"/>
    </w:pPr>
    <w:rPr>
      <w:sz w:val="20"/>
      <w:szCs w:val="20"/>
    </w:rPr>
  </w:style>
  <w:style w:type="character" w:customStyle="1" w:styleId="CommentTextChar">
    <w:name w:val="Comment Text Char"/>
    <w:basedOn w:val="DefaultParagraphFont"/>
    <w:link w:val="CommentText"/>
    <w:uiPriority w:val="99"/>
    <w:semiHidden/>
    <w:rsid w:val="001E0F49"/>
    <w:rPr>
      <w:sz w:val="20"/>
      <w:szCs w:val="20"/>
    </w:rPr>
  </w:style>
  <w:style w:type="paragraph" w:styleId="CommentSubject">
    <w:name w:val="annotation subject"/>
    <w:basedOn w:val="CommentText"/>
    <w:next w:val="CommentText"/>
    <w:link w:val="CommentSubjectChar"/>
    <w:uiPriority w:val="99"/>
    <w:semiHidden/>
    <w:unhideWhenUsed/>
    <w:rsid w:val="001E0F49"/>
    <w:rPr>
      <w:b/>
      <w:bCs/>
    </w:rPr>
  </w:style>
  <w:style w:type="character" w:customStyle="1" w:styleId="CommentSubjectChar">
    <w:name w:val="Comment Subject Char"/>
    <w:basedOn w:val="CommentTextChar"/>
    <w:link w:val="CommentSubject"/>
    <w:uiPriority w:val="99"/>
    <w:semiHidden/>
    <w:rsid w:val="001E0F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38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5B7C5-6687-4AB4-A8E5-CE26AED0B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IBERDROLA S.A.</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Iberdrola S.A.</dc:creator>
  <cp:lastModifiedBy>ERIN FRAWLEY</cp:lastModifiedBy>
  <cp:revision>8</cp:revision>
  <dcterms:created xsi:type="dcterms:W3CDTF">2023-07-17T12:52:00Z</dcterms:created>
  <dcterms:modified xsi:type="dcterms:W3CDTF">2023-07-26T11:37:00Z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624b1752-a977-4927-b9e6-e48a43684aee_Enabled">
    <vt:lpwstr>true</vt:lpwstr>
  </property>
  <property fmtid="{D5CDD505-2E9C-101B-9397-08002B2CF9AE}" pid="4" name="MSIP_Label_624b1752-a977-4927-b9e6-e48a43684aee_SetDate">
    <vt:lpwstr>2023-07-25T04:27:21Z</vt:lpwstr>
  </property>
  <property fmtid="{D5CDD505-2E9C-101B-9397-08002B2CF9AE}" pid="5" name="MSIP_Label_624b1752-a977-4927-b9e6-e48a43684aee_Method">
    <vt:lpwstr>Privileged</vt:lpwstr>
  </property>
  <property fmtid="{D5CDD505-2E9C-101B-9397-08002B2CF9AE}" pid="6" name="MSIP_Label_624b1752-a977-4927-b9e6-e48a43684aee_Name">
    <vt:lpwstr>Public</vt:lpwstr>
  </property>
  <property fmtid="{D5CDD505-2E9C-101B-9397-08002B2CF9AE}" pid="7" name="MSIP_Label_624b1752-a977-4927-b9e6-e48a43684aee_SiteId">
    <vt:lpwstr>031a09bc-a2bf-44df-888e-4e09355b7a24</vt:lpwstr>
  </property>
  <property fmtid="{D5CDD505-2E9C-101B-9397-08002B2CF9AE}" pid="8" name="MSIP_Label_624b1752-a977-4927-b9e6-e48a43684aee_ActionId">
    <vt:lpwstr>14bfcb10-c079-462f-a2ba-92a4e0d4c893</vt:lpwstr>
  </property>
  <property fmtid="{D5CDD505-2E9C-101B-9397-08002B2CF9AE}" pid="9" name="MSIP_Label_624b1752-a977-4927-b9e6-e48a43684aee_ContentBits">
    <vt:lpwstr>0</vt:lpwstr>
  </property>
</Properties>
</file>