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sidRPr="00E46E8F">
        <w:rPr>
          <w:rFonts w:cstheme="minorHAnsi"/>
          <w:b/>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02724203"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5B65FE">
        <w:rPr>
          <w:rFonts w:cstheme="minorHAnsi"/>
          <w:b/>
          <w:sz w:val="24"/>
          <w:szCs w:val="24"/>
        </w:rPr>
        <w:t>26</w:t>
      </w:r>
      <w:r>
        <w:rPr>
          <w:rFonts w:cstheme="minorHAnsi"/>
          <w:b/>
          <w:sz w:val="24"/>
          <w:szCs w:val="24"/>
        </w:rPr>
        <w:t>,</w:t>
      </w:r>
      <w:r w:rsidR="005B65FE">
        <w:rPr>
          <w:rFonts w:cstheme="minorHAnsi"/>
          <w:b/>
          <w:sz w:val="24"/>
          <w:szCs w:val="24"/>
        </w:rPr>
        <w:t xml:space="preserve">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5FD6F025" w:rsidR="003D6C6D" w:rsidRPr="00C5703B" w:rsidRDefault="007C2B34" w:rsidP="00C5703B">
      <w:pPr>
        <w:spacing w:after="0" w:line="240" w:lineRule="auto"/>
        <w:rPr>
          <w:rFonts w:cstheme="minorHAnsi"/>
          <w:b/>
          <w:sz w:val="24"/>
          <w:szCs w:val="24"/>
        </w:rPr>
      </w:pPr>
      <w:r>
        <w:rPr>
          <w:rFonts w:cstheme="minorHAnsi"/>
          <w:b/>
          <w:sz w:val="24"/>
          <w:szCs w:val="24"/>
        </w:rPr>
        <w:t>MPUC-CMP-1-</w:t>
      </w:r>
      <w:r w:rsidR="00A91679">
        <w:rPr>
          <w:rFonts w:cstheme="minorHAnsi"/>
          <w:b/>
          <w:sz w:val="24"/>
          <w:szCs w:val="24"/>
        </w:rPr>
        <w:t>7</w:t>
      </w:r>
    </w:p>
    <w:p w14:paraId="3616AD2F" w14:textId="77777777" w:rsidR="003D6C6D" w:rsidRPr="00C5703B" w:rsidRDefault="003D6C6D" w:rsidP="00C5703B">
      <w:pPr>
        <w:spacing w:after="0" w:line="240" w:lineRule="auto"/>
        <w:rPr>
          <w:rFonts w:cstheme="minorHAnsi"/>
          <w:b/>
          <w:sz w:val="24"/>
          <w:szCs w:val="24"/>
        </w:rPr>
      </w:pPr>
    </w:p>
    <w:p w14:paraId="1EFEA2A4" w14:textId="6EECEF4B" w:rsidR="00860309" w:rsidRDefault="003D6C6D" w:rsidP="00442162">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A91679" w:rsidRPr="00A91679">
        <w:rPr>
          <w:rFonts w:cstheme="minorHAnsi"/>
          <w:sz w:val="24"/>
          <w:szCs w:val="24"/>
        </w:rPr>
        <w:t>Please identify all charges to depreciation expense (FERC Account 403) or amortization expense (FERC Account 404) based on depreciation rates not approved by the Commission in 2022 for assets included in the rate base of CMP’s wholesale transmission formula rate.</w:t>
      </w:r>
    </w:p>
    <w:p w14:paraId="29B23AC2" w14:textId="77777777" w:rsidR="00860309" w:rsidRDefault="00860309" w:rsidP="00442162">
      <w:pPr>
        <w:spacing w:after="0" w:line="240" w:lineRule="auto"/>
        <w:ind w:left="720" w:hanging="720"/>
        <w:rPr>
          <w:rFonts w:cstheme="minorHAnsi"/>
          <w:b/>
          <w:sz w:val="24"/>
          <w:szCs w:val="24"/>
        </w:rPr>
      </w:pPr>
    </w:p>
    <w:p w14:paraId="43872026" w14:textId="0E61B6DE" w:rsidR="005B65FE" w:rsidRDefault="003D6C6D" w:rsidP="005B65FE">
      <w:pPr>
        <w:spacing w:after="0" w:line="240" w:lineRule="auto"/>
        <w:ind w:left="720" w:hanging="720"/>
        <w:rPr>
          <w:rFonts w:cstheme="minorHAnsi"/>
          <w:sz w:val="24"/>
          <w:szCs w:val="24"/>
        </w:rPr>
      </w:pPr>
      <w:r w:rsidRPr="00C5703B">
        <w:rPr>
          <w:rFonts w:cstheme="minorHAnsi"/>
          <w:b/>
          <w:sz w:val="24"/>
          <w:szCs w:val="24"/>
        </w:rPr>
        <w:t>A:</w:t>
      </w:r>
      <w:r w:rsidRPr="00C5703B">
        <w:rPr>
          <w:rFonts w:cstheme="minorHAnsi"/>
          <w:b/>
          <w:sz w:val="24"/>
          <w:szCs w:val="24"/>
        </w:rPr>
        <w:tab/>
      </w:r>
      <w:r w:rsidR="005B65FE" w:rsidRPr="005B65FE">
        <w:rPr>
          <w:rFonts w:cstheme="minorHAnsi"/>
          <w:bCs/>
          <w:sz w:val="24"/>
          <w:szCs w:val="24"/>
        </w:rPr>
        <w:t>There were no</w:t>
      </w:r>
      <w:r w:rsidR="005B65FE">
        <w:rPr>
          <w:rFonts w:cstheme="minorHAnsi"/>
          <w:b/>
          <w:sz w:val="24"/>
          <w:szCs w:val="24"/>
        </w:rPr>
        <w:t xml:space="preserve"> </w:t>
      </w:r>
      <w:r w:rsidR="005B65FE" w:rsidRPr="00A91679">
        <w:rPr>
          <w:rFonts w:cstheme="minorHAnsi"/>
          <w:sz w:val="24"/>
          <w:szCs w:val="24"/>
        </w:rPr>
        <w:t>charges to depreciation expense (FERC Account 403</w:t>
      </w:r>
      <w:r w:rsidR="005B65FE">
        <w:rPr>
          <w:rFonts w:cstheme="minorHAnsi"/>
          <w:sz w:val="24"/>
          <w:szCs w:val="24"/>
        </w:rPr>
        <w:t>),</w:t>
      </w:r>
      <w:r w:rsidR="005B65FE" w:rsidRPr="00A91679">
        <w:rPr>
          <w:rFonts w:cstheme="minorHAnsi"/>
          <w:sz w:val="24"/>
          <w:szCs w:val="24"/>
        </w:rPr>
        <w:t xml:space="preserve"> or amortization expense (FERC Account 404) based on depreciation rates not approved by the Commission in 2022 for assets included in the rate base of CMP’s wholesale transmission formula rate.</w:t>
      </w:r>
    </w:p>
    <w:p w14:paraId="304E7CB2" w14:textId="77777777" w:rsidR="003D6C6D" w:rsidRPr="00C5703B" w:rsidRDefault="003D6C6D" w:rsidP="00C5703B">
      <w:pPr>
        <w:spacing w:after="0" w:line="240" w:lineRule="auto"/>
        <w:rPr>
          <w:rFonts w:cstheme="minorHAnsi"/>
          <w:b/>
          <w:sz w:val="24"/>
          <w:szCs w:val="24"/>
        </w:rPr>
      </w:pPr>
    </w:p>
    <w:p w14:paraId="4E127BE0" w14:textId="42295298"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5B65FE" w:rsidRPr="005B65FE">
        <w:rPr>
          <w:rFonts w:cstheme="minorHAnsi"/>
          <w:bCs/>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C118" w14:textId="77777777" w:rsidR="00B87883" w:rsidRDefault="00B87883" w:rsidP="003D6C6D">
      <w:pPr>
        <w:spacing w:after="0" w:line="240" w:lineRule="auto"/>
      </w:pPr>
      <w:r>
        <w:separator/>
      </w:r>
    </w:p>
  </w:endnote>
  <w:endnote w:type="continuationSeparator" w:id="0">
    <w:p w14:paraId="3373DDBF" w14:textId="77777777" w:rsidR="00B87883" w:rsidRDefault="00B87883"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77777777" w:rsidR="00733090" w:rsidRDefault="00733090">
    <w:pPr>
      <w:pStyle w:val="Footer"/>
    </w:pPr>
    <w:r>
      <w:rPr>
        <w:noProof/>
      </w:rPr>
      <mc:AlternateContent>
        <mc:Choice Requires="wps">
          <w:drawing>
            <wp:anchor distT="0" distB="0" distL="114300" distR="114300" simplePos="0" relativeHeight="251657216" behindDoc="0" locked="0" layoutInCell="0" allowOverlap="1" wp14:anchorId="21025D5A" wp14:editId="72C414F7">
              <wp:simplePos x="0" y="0"/>
              <wp:positionH relativeFrom="page">
                <wp:posOffset>0</wp:posOffset>
              </wp:positionH>
              <wp:positionV relativeFrom="page">
                <wp:posOffset>9594215</wp:posOffset>
              </wp:positionV>
              <wp:extent cx="7772400" cy="276225"/>
              <wp:effectExtent l="0" t="0" r="0" b="9525"/>
              <wp:wrapNone/>
              <wp:docPr id="1" name="MSIPCM053d4eecb30e53ece68484d5"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025D5A" id="_x0000_t202" coordsize="21600,21600" o:spt="202" path="m,l,21600r21600,l21600,xe">
              <v:stroke joinstyle="miter"/>
              <v:path gradientshapeok="t" o:connecttype="rect"/>
            </v:shapetype>
            <v:shape id="MSIPCM053d4eecb30e53ece68484d5" o:spid="_x0000_s1026" type="#_x0000_t202" alt="{&quot;HashCode&quot;:1231056682,&quot;Height&quot;:792.0,&quot;Width&quot;:612.0,&quot;Placement&quot;:&quot;Footer&quot;,&quot;Index&quot;:&quot;Primary&quot;,&quot;Section&quot;:1,&quot;Top&quot;:0.0,&quot;Left&quot;:0.0}" style="position:absolute;margin-left:0;margin-top:755.45pt;width:612pt;height:21.7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" o:allowincell="f" filled="f" stroked="f" strokeweight=".5pt">
              <v:textbox inset=",0,,0">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99DC" w14:textId="77777777" w:rsidR="00B87883" w:rsidRDefault="00B87883" w:rsidP="003D6C6D">
      <w:pPr>
        <w:spacing w:after="0" w:line="240" w:lineRule="auto"/>
      </w:pPr>
      <w:r>
        <w:separator/>
      </w:r>
    </w:p>
  </w:footnote>
  <w:footnote w:type="continuationSeparator" w:id="0">
    <w:p w14:paraId="59A479E0" w14:textId="77777777" w:rsidR="00B87883" w:rsidRDefault="00B87883"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1626D"/>
    <w:rsid w:val="00052745"/>
    <w:rsid w:val="0009767B"/>
    <w:rsid w:val="000B0F2D"/>
    <w:rsid w:val="000C71FB"/>
    <w:rsid w:val="000D31B1"/>
    <w:rsid w:val="00125EAF"/>
    <w:rsid w:val="00177079"/>
    <w:rsid w:val="001E1A47"/>
    <w:rsid w:val="0022747D"/>
    <w:rsid w:val="002565EC"/>
    <w:rsid w:val="00274F25"/>
    <w:rsid w:val="002A3ED6"/>
    <w:rsid w:val="002C323A"/>
    <w:rsid w:val="002E13AA"/>
    <w:rsid w:val="0038662E"/>
    <w:rsid w:val="003A6D26"/>
    <w:rsid w:val="003B7B7C"/>
    <w:rsid w:val="003D6C6D"/>
    <w:rsid w:val="003F59E5"/>
    <w:rsid w:val="0043457F"/>
    <w:rsid w:val="00442162"/>
    <w:rsid w:val="0045097A"/>
    <w:rsid w:val="0045239E"/>
    <w:rsid w:val="00503FD9"/>
    <w:rsid w:val="005B65FE"/>
    <w:rsid w:val="005C37FB"/>
    <w:rsid w:val="00612B90"/>
    <w:rsid w:val="006C7DC3"/>
    <w:rsid w:val="006E2F6F"/>
    <w:rsid w:val="006E6BA4"/>
    <w:rsid w:val="00733090"/>
    <w:rsid w:val="007537D7"/>
    <w:rsid w:val="00784F91"/>
    <w:rsid w:val="007C2B34"/>
    <w:rsid w:val="00804A20"/>
    <w:rsid w:val="00860309"/>
    <w:rsid w:val="008678B6"/>
    <w:rsid w:val="008B5038"/>
    <w:rsid w:val="008B5557"/>
    <w:rsid w:val="008F1103"/>
    <w:rsid w:val="009045FF"/>
    <w:rsid w:val="009E4DEC"/>
    <w:rsid w:val="00A0196B"/>
    <w:rsid w:val="00A0423C"/>
    <w:rsid w:val="00A22405"/>
    <w:rsid w:val="00A60024"/>
    <w:rsid w:val="00A91679"/>
    <w:rsid w:val="00B37EA3"/>
    <w:rsid w:val="00B74B70"/>
    <w:rsid w:val="00B8228C"/>
    <w:rsid w:val="00B87883"/>
    <w:rsid w:val="00B9367E"/>
    <w:rsid w:val="00BB2F0D"/>
    <w:rsid w:val="00C011BF"/>
    <w:rsid w:val="00C5703B"/>
    <w:rsid w:val="00C6312B"/>
    <w:rsid w:val="00C81634"/>
    <w:rsid w:val="00C81D3E"/>
    <w:rsid w:val="00C870CC"/>
    <w:rsid w:val="00CA5D82"/>
    <w:rsid w:val="00D01CD0"/>
    <w:rsid w:val="00D025BB"/>
    <w:rsid w:val="00D71228"/>
    <w:rsid w:val="00DC7474"/>
    <w:rsid w:val="00DF0813"/>
    <w:rsid w:val="00E033FE"/>
    <w:rsid w:val="00E05171"/>
    <w:rsid w:val="00E1103C"/>
    <w:rsid w:val="00E124AA"/>
    <w:rsid w:val="00E16897"/>
    <w:rsid w:val="00E17525"/>
    <w:rsid w:val="00E46E8F"/>
    <w:rsid w:val="00E74C29"/>
    <w:rsid w:val="00E77333"/>
    <w:rsid w:val="00E85FBC"/>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Frawley, Erin</cp:lastModifiedBy>
  <cp:revision>4</cp:revision>
  <dcterms:created xsi:type="dcterms:W3CDTF">2023-07-17T12:48:00Z</dcterms:created>
  <dcterms:modified xsi:type="dcterms:W3CDTF">2023-07-25T18:10:00Z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19c027e-33b7-45fc-a572-8ffa5d09ec36_Enabled">
    <vt:lpwstr>true</vt:lpwstr>
  </property>
  <property fmtid="{D5CDD505-2E9C-101B-9397-08002B2CF9AE}" pid="4" name="MSIP_Label_019c027e-33b7-45fc-a572-8ffa5d09ec36_SetDate">
    <vt:lpwstr>2023-07-25T18:10:21Z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e6f695d9-6cfe-4145-9075-61687c8f288e</vt:lpwstr>
  </property>
  <property fmtid="{D5CDD505-2E9C-101B-9397-08002B2CF9AE}" pid="9" name="MSIP_Label_019c027e-33b7-45fc-a572-8ffa5d09ec36_ContentBits">
    <vt:lpwstr>2</vt:lpwstr>
  </property>
</Properties>
</file>